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5F" w:rsidRPr="008D31E5" w:rsidRDefault="00F6055F" w:rsidP="00F6055F">
      <w:pPr>
        <w:pStyle w:val="1"/>
        <w:shd w:val="clear" w:color="auto" w:fill="FFFFFF"/>
        <w:spacing w:before="225" w:beforeAutospacing="0" w:after="0" w:afterAutospacing="0"/>
        <w:jc w:val="center"/>
        <w:rPr>
          <w:rFonts w:asciiTheme="majorEastAsia" w:eastAsiaTheme="majorEastAsia" w:hAnsiTheme="majorEastAsia"/>
          <w:b w:val="0"/>
          <w:bCs w:val="0"/>
          <w:color w:val="444444"/>
          <w:sz w:val="30"/>
          <w:szCs w:val="30"/>
        </w:rPr>
      </w:pPr>
      <w:r w:rsidRPr="008D31E5">
        <w:rPr>
          <w:rFonts w:asciiTheme="majorEastAsia" w:eastAsiaTheme="majorEastAsia" w:hAnsiTheme="majorEastAsia" w:hint="eastAsia"/>
          <w:b w:val="0"/>
          <w:bCs w:val="0"/>
          <w:color w:val="444444"/>
          <w:sz w:val="30"/>
          <w:szCs w:val="30"/>
        </w:rPr>
        <w:t>涂料</w:t>
      </w:r>
      <w:r>
        <w:rPr>
          <w:rFonts w:asciiTheme="majorEastAsia" w:eastAsiaTheme="majorEastAsia" w:hAnsiTheme="majorEastAsia" w:hint="eastAsia"/>
          <w:b w:val="0"/>
          <w:bCs w:val="0"/>
          <w:color w:val="444444"/>
          <w:sz w:val="30"/>
          <w:szCs w:val="30"/>
        </w:rPr>
        <w:t>送检指南</w:t>
      </w:r>
    </w:p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959"/>
        <w:gridCol w:w="882"/>
        <w:gridCol w:w="2253"/>
        <w:gridCol w:w="1959"/>
        <w:gridCol w:w="1567"/>
      </w:tblGrid>
      <w:tr w:rsidR="00F6055F" w:rsidRPr="008D31E5" w:rsidTr="001D0BCE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材料类别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检测项目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检验周期</w:t>
            </w:r>
            <w:r w:rsidRPr="008D31E5"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  <w:t>(</w:t>
            </w: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天</w:t>
            </w:r>
            <w:r w:rsidRPr="008D31E5"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取样批量规定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取样方法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送检要求</w:t>
            </w:r>
          </w:p>
        </w:tc>
      </w:tr>
      <w:tr w:rsidR="00F6055F" w:rsidRPr="008D31E5" w:rsidTr="001D0BCE">
        <w:trPr>
          <w:jc w:val="center"/>
        </w:trPr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防水涂料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聚氨酯防水涂料</w:t>
            </w:r>
          </w:p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GB/T19250-2003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同一类型、同一规格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15t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为一批，不足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15t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亦作为一批。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尽量取有生产厂原包装的样品送检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,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并且标签、印章齐全；自行取样时应搅拌均匀后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,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装入不与涂料发生反应的洁净、干燥、密封的容器内。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单组分：取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桶，或取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3kg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；</w:t>
            </w:r>
          </w:p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双组分：各取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桶，或各取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3kg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。</w:t>
            </w:r>
          </w:p>
        </w:tc>
      </w:tr>
      <w:tr w:rsidR="00F6055F" w:rsidRPr="008D31E5" w:rsidTr="001D0BC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55F" w:rsidRPr="008D31E5" w:rsidRDefault="00F6055F" w:rsidP="001D0BCE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聚合物水泥防水涂料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GB/T23445-2009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同一类型、同一规格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10t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为一批，不足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10t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亦作为一批。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55F" w:rsidRPr="008D31E5" w:rsidRDefault="00F6055F" w:rsidP="001D0BCE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涂料与相配的水泥或粉料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(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按现场掺合比例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)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共取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5kg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。</w:t>
            </w:r>
          </w:p>
        </w:tc>
      </w:tr>
      <w:tr w:rsidR="00F6055F" w:rsidRPr="008D31E5" w:rsidTr="001D0BC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55F" w:rsidRPr="008D31E5" w:rsidRDefault="00F6055F" w:rsidP="001D0BCE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聚合物乳液建筑防水涂料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JC/T864-2008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同一类型、同一规格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5t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为一批，不足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5t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亦作为一批。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55F" w:rsidRPr="008D31E5" w:rsidRDefault="00F6055F" w:rsidP="001D0BCE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4kg/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组</w:t>
            </w:r>
          </w:p>
        </w:tc>
      </w:tr>
      <w:tr w:rsidR="00F6055F" w:rsidRPr="008D31E5" w:rsidTr="001D0BC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55F" w:rsidRPr="008D31E5" w:rsidRDefault="00F6055F" w:rsidP="001D0BCE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溶剂型橡胶沥青防水涂料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JC/T852-1999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同一类型、同一规格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5t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为一批，不足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5t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亦作为一批。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55F" w:rsidRPr="008D31E5" w:rsidRDefault="00F6055F" w:rsidP="001D0BCE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取混合样品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2kg/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组。</w:t>
            </w:r>
          </w:p>
        </w:tc>
      </w:tr>
      <w:tr w:rsidR="00F6055F" w:rsidRPr="008D31E5" w:rsidTr="001D0BCE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建筑涂料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合成树脂乳液外墙涂料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GB/T9755-2001</w:t>
            </w:r>
          </w:p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合成树脂乳液内墙涂料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GB/T9756-2009</w:t>
            </w:r>
          </w:p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溶剂型外墙涂料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 GB/T9757-2001</w:t>
            </w:r>
          </w:p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外墙无机建筑涂料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JG/T 26-2002</w:t>
            </w:r>
          </w:p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弹性建筑涂料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JG/T172-2005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12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～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同厂家、同品牌、同包装、同批号，一次进货为一个验收批。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尽量取有生产原包装的样品送检，并且标签、印章齐全；自行取样时应搅拌均匀后，装入不与涂料发生反应的洁净、干燥、密封的容器内。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2L/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组</w:t>
            </w:r>
          </w:p>
        </w:tc>
      </w:tr>
      <w:tr w:rsidR="00F6055F" w:rsidRPr="008D31E5" w:rsidTr="001D0BCE">
        <w:trPr>
          <w:jc w:val="center"/>
        </w:trPr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腻子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建筑外墙用腻子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JG/T157-2009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12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～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55F" w:rsidRPr="008D31E5" w:rsidRDefault="00F6055F" w:rsidP="001D0BCE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样品数量：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2kg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。</w:t>
            </w:r>
          </w:p>
        </w:tc>
      </w:tr>
      <w:tr w:rsidR="00F6055F" w:rsidRPr="008D31E5" w:rsidTr="001D0BC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55F" w:rsidRPr="008D31E5" w:rsidRDefault="00F6055F" w:rsidP="001D0BCE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  <w:t> </w:t>
            </w: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建筑室内用腻子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JG/T298-2010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12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～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55F" w:rsidRPr="008D31E5" w:rsidRDefault="00F6055F" w:rsidP="001D0BCE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样品数量：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2kg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。</w:t>
            </w:r>
          </w:p>
        </w:tc>
      </w:tr>
      <w:tr w:rsidR="00F6055F" w:rsidRPr="008D31E5" w:rsidTr="001D0BCE">
        <w:trPr>
          <w:jc w:val="center"/>
        </w:trPr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胶水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both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b/>
                <w:bCs/>
                <w:color w:val="000000"/>
                <w:sz w:val="18"/>
                <w:szCs w:val="18"/>
              </w:rPr>
              <w:t>硅酮建筑密封胶</w:t>
            </w:r>
          </w:p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both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GB/T14683-2003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同一类型、同一规格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5t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为一批，不足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5t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亦作为一批。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支装产品：随机抽取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3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件包装箱，从每件包装箱中随机抽取样品；</w:t>
            </w:r>
          </w:p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桶装产品：随机抽取样品后立即密封包装。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支装产品：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6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～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9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支</w:t>
            </w:r>
          </w:p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桶装产品：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4kg</w:t>
            </w:r>
          </w:p>
        </w:tc>
      </w:tr>
      <w:tr w:rsidR="00F6055F" w:rsidRPr="008D31E5" w:rsidTr="001D0BC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55F" w:rsidRPr="008D31E5" w:rsidRDefault="00F6055F" w:rsidP="001D0BCE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both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b/>
                <w:bCs/>
                <w:color w:val="000000"/>
                <w:sz w:val="18"/>
                <w:szCs w:val="18"/>
              </w:rPr>
              <w:t>建筑用硅酮结构胶</w:t>
            </w:r>
          </w:p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both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GB16776-2005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连续生产时每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3t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为一批，不足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3t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也为一批，间断生产时，每</w:t>
            </w:r>
            <w:proofErr w:type="gramStart"/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釜</w:t>
            </w:r>
            <w:proofErr w:type="gramEnd"/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投料为一批。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随机抽样。（双组分产品从原包装中抽样，抽取的样品应立即密封包装。）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单组分：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5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支；</w:t>
            </w:r>
          </w:p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双组分：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3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～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5 kg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。</w:t>
            </w:r>
          </w:p>
        </w:tc>
      </w:tr>
      <w:tr w:rsidR="00F6055F" w:rsidRPr="008D31E5" w:rsidTr="001D0BC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55F" w:rsidRPr="008D31E5" w:rsidRDefault="00F6055F" w:rsidP="001D0BCE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both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b/>
                <w:bCs/>
                <w:color w:val="000000"/>
                <w:sz w:val="18"/>
                <w:szCs w:val="18"/>
              </w:rPr>
              <w:t>结构胶、密封胶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 </w:t>
            </w:r>
            <w:r w:rsidRPr="008D31E5">
              <w:rPr>
                <w:rFonts w:asciiTheme="majorEastAsia" w:eastAsiaTheme="majorEastAsia" w:hAnsiTheme="majorEastAsia" w:cs="宋体"/>
                <w:b/>
                <w:bCs/>
                <w:color w:val="000000"/>
                <w:sz w:val="18"/>
                <w:szCs w:val="18"/>
              </w:rPr>
              <w:t>相容性试验</w:t>
            </w:r>
            <w:r w:rsidRPr="008D31E5"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  <w:br/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GB16776-2005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结构胶／密封胶、基材、附件的每一个验收批均应进行相容性试验。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随机抽样。（双组分产品从原包装中抽样，抽取的样品应立即密封包装。）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单组分：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5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  <w:t>支；</w:t>
            </w:r>
          </w:p>
          <w:p w:rsidR="00F6055F" w:rsidRPr="008D31E5" w:rsidRDefault="00F6055F" w:rsidP="001D0BCE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双组分：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3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～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5 kg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。</w:t>
            </w:r>
          </w:p>
        </w:tc>
      </w:tr>
    </w:tbl>
    <w:p w:rsidR="00F92EDB" w:rsidRPr="00F6055F" w:rsidRDefault="00F92EDB" w:rsidP="00F6055F">
      <w:bookmarkStart w:id="0" w:name="_GoBack"/>
      <w:bookmarkEnd w:id="0"/>
    </w:p>
    <w:sectPr w:rsidR="00F92EDB" w:rsidRPr="00F60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DB"/>
    <w:rsid w:val="00E063AD"/>
    <w:rsid w:val="00F6055F"/>
    <w:rsid w:val="00F9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CFF51-A214-408B-B471-172248C5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5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link w:val="1Char"/>
    <w:uiPriority w:val="9"/>
    <w:qFormat/>
    <w:rsid w:val="00F6055F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6055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吴烈贵</dc:creator>
  <cp:keywords/>
  <dc:description/>
  <cp:lastModifiedBy>吴烈贵</cp:lastModifiedBy>
  <cp:revision>2</cp:revision>
  <dcterms:created xsi:type="dcterms:W3CDTF">2016-12-01T06:54:00Z</dcterms:created>
  <dcterms:modified xsi:type="dcterms:W3CDTF">2016-12-01T06:54:00Z</dcterms:modified>
</cp:coreProperties>
</file>