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09" w:rsidRPr="008D31E5" w:rsidRDefault="00665009" w:rsidP="00665009">
      <w:pPr>
        <w:pStyle w:val="1"/>
        <w:shd w:val="clear" w:color="auto" w:fill="FFFFFF"/>
        <w:spacing w:before="225" w:beforeAutospacing="0" w:after="0" w:afterAutospacing="0"/>
        <w:jc w:val="center"/>
        <w:rPr>
          <w:rFonts w:ascii="微软雅黑" w:eastAsia="微软雅黑" w:hAnsi="微软雅黑"/>
          <w:b w:val="0"/>
          <w:bCs w:val="0"/>
          <w:color w:val="444444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b w:val="0"/>
          <w:bCs w:val="0"/>
          <w:color w:val="444444"/>
          <w:sz w:val="30"/>
          <w:szCs w:val="30"/>
        </w:rPr>
        <w:t>钢材送检指南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931"/>
        <w:gridCol w:w="2706"/>
        <w:gridCol w:w="1606"/>
        <w:gridCol w:w="1521"/>
      </w:tblGrid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检测项目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检验周期</w:t>
            </w:r>
            <w:r w:rsidRPr="008D31E5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天</w:t>
            </w:r>
            <w:r w:rsidRPr="008D31E5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取样批量规定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取样方法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送检要求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原材类：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GB1499.2-2007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GB1499.1-2008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GB13014-91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GB5223.3-2005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GB13788-2008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JG190-2006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GB/T700-2006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GB/T699-1999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GB/T1591-2008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 3077-1999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(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若材料需要加工则需要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直条、光圆钢筋：同一牌号、同炉罐、同规格，每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60t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为一批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, 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不足此数也按一批计。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随机抽取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根，去掉端头后各截取一支，要求钢筋两端面平整且垂直于中轴线，用于重量偏差和力学性能（拉伸）检验。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500-520mm</w:t>
            </w:r>
          </w:p>
        </w:tc>
      </w:tr>
      <w:tr w:rsidR="00665009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盘条、冷轧带肋钢筋：同一牌号、同炉罐号、同一规格、外形，同一生产工艺和同一交货</w:t>
            </w:r>
            <w:proofErr w:type="gramStart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狀</w:t>
            </w:r>
            <w:proofErr w:type="gramEnd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态，每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60t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为一批，不足此数也按一批计。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同上</w:t>
            </w:r>
          </w:p>
        </w:tc>
      </w:tr>
      <w:tr w:rsidR="00665009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碳素结构低合金钢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: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同一牌号、同炉罐号、同质量等级，同一品种，同一尺寸，同一交货</w:t>
            </w:r>
            <w:proofErr w:type="gramStart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狀</w:t>
            </w:r>
            <w:proofErr w:type="gramEnd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态，每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60t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为一批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, 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不足此数也按一批计。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在外观尺寸合格的钢产品上取样，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取样的位置具有代表性。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拉伸、冷弯各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;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长度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: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拉伸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50-60cm/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冷弯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40-50cm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焊接类：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JGJ18-2012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闪光对焊、气压焊：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工艺检验：每批钢筋正式焊接前，每种牌号、每种规格至少做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组试件进行工艺检验；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非工艺检验：以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300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个同类型接头为一批。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应从每批接头中随机切取。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拉伸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55-60cm3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弯曲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40cm 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ind w:firstLine="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焊接类：</w:t>
            </w:r>
            <w:r w:rsidRPr="008D31E5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br/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JGJ18-2012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电弧焊（如：搭接焊、帮条焊等）、</w:t>
            </w:r>
            <w:proofErr w:type="gramStart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电渣压力焊</w:t>
            </w:r>
            <w:proofErr w:type="gramEnd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工艺检验：每批钢筋正式焊接前，每种牌号、每种规格至少做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组试件进行工艺检验；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非工艺检验：以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300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个同类型接头为一批。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应从每批接头中随机切取。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拉伸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55-60cm3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钢筋机械连接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(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如套筒挤压连接接头、</w:t>
            </w:r>
            <w:proofErr w:type="gramStart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套筒锥螺接头</w:t>
            </w:r>
            <w:proofErr w:type="gramEnd"/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等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)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JGJ 107-2010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工艺检验：对每批进场钢筋应做接头工艺检验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(60t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为一批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)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现场检验：同一施工条件下采用同一批材料的同等级、同型式、同规格接头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500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个为一批，不足此数也按一批计。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应从每批接头中随机截取。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工艺检验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: 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支接头。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br/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现场检验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:3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支接头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,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只作拉伸试验。长度：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55-60cm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钢绞线</w:t>
            </w:r>
            <w:r w:rsidRPr="008D31E5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br/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GB/T5224-2003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同牌号、同规格每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60t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为一批。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随机抽取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盘，每盘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各取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段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,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共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支。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lastRenderedPageBreak/>
              <w:t>结构用无缝钢管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 8163-2008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同一钢号、炉号、规格、热处制度的钢管一批，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每批数量不超过以下规定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: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外径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≤76mm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壁厚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≤3mm:400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根；外径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&gt;351mm: 50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根；其它尺寸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:200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随机抽取两根钢管，各取一个拉伸试样，各取一个压扁试样。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原材拉伸：</w:t>
            </w:r>
            <w:r w:rsidRPr="008D31E5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br/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每批取长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500mm 2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根。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弯曲或压扁：</w:t>
            </w:r>
            <w:r w:rsidRPr="008D31E5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br/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当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D≤22mm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，每批取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支长约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800mm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全管弯曲；当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D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＞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22mm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，取长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40mm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钢圈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个压扁。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结构用无缝钢管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 8162-2008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角钢等各类、型钢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GB/T700-2006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GB/T 1591-2008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09" w:rsidRPr="008D31E5" w:rsidRDefault="00665009" w:rsidP="001D0B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同一牌号、同炉罐号、同等级，同一品种，同一尺寸，同一交货状态组成。每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60t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为一批，不足此数也按一批计。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在外观及尺寸合格的钢产品上取样，取样的位置具有代表性。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拉伸、弯曲各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支；</w:t>
            </w:r>
          </w:p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长度：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40-50cm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。（需加工）</w:t>
            </w:r>
          </w:p>
        </w:tc>
      </w:tr>
      <w:tr w:rsidR="00665009" w:rsidRPr="008D31E5" w:rsidTr="001D0BCE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《系列1集装箱 角件》 GB/T1835-2006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同炉罐号、同一交货状态取一组样。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在规定的部位取样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009" w:rsidRPr="008D31E5" w:rsidRDefault="00665009" w:rsidP="001D0BC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拉伸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支、冲击</w:t>
            </w:r>
            <w:r w:rsidRPr="008D31E5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</w:t>
            </w:r>
            <w:r w:rsidRPr="008D31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支</w:t>
            </w:r>
          </w:p>
        </w:tc>
      </w:tr>
    </w:tbl>
    <w:p w:rsidR="00F92EDB" w:rsidRPr="00665009" w:rsidRDefault="00F92EDB" w:rsidP="00665009"/>
    <w:sectPr w:rsidR="00F92EDB" w:rsidRPr="0066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DB"/>
    <w:rsid w:val="00665009"/>
    <w:rsid w:val="00901A85"/>
    <w:rsid w:val="00E063AD"/>
    <w:rsid w:val="00EB0100"/>
    <w:rsid w:val="00EE4F73"/>
    <w:rsid w:val="00F6055F"/>
    <w:rsid w:val="00F92EDB"/>
    <w:rsid w:val="00F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FF51-A214-408B-B471-172248C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5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link w:val="1Char"/>
    <w:uiPriority w:val="9"/>
    <w:qFormat/>
    <w:rsid w:val="00F6055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055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吴烈贵</dc:creator>
  <cp:keywords/>
  <dc:description/>
  <cp:lastModifiedBy>吴烈贵</cp:lastModifiedBy>
  <cp:revision>2</cp:revision>
  <dcterms:created xsi:type="dcterms:W3CDTF">2016-12-01T06:57:00Z</dcterms:created>
  <dcterms:modified xsi:type="dcterms:W3CDTF">2016-12-01T06:57:00Z</dcterms:modified>
</cp:coreProperties>
</file>